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2"/>
          <w:szCs w:val="32"/>
        </w:rPr>
      </w:pPr>
      <w:r>
        <w:rPr>
          <w:b/>
          <w:sz w:val="32"/>
          <w:szCs w:val="32"/>
        </w:rPr>
        <w:t xml:space="preserve">ARINDAM BASU </w:t>
        <w:br/>
      </w:r>
      <w:r>
        <w:rPr>
          <w:b w:val="false"/>
          <w:bCs w:val="false"/>
          <w:i/>
          <w:iCs/>
          <w:sz w:val="24"/>
          <w:szCs w:val="24"/>
        </w:rPr>
        <w:t>(Legal Name: Arindam Bose)</w:t>
      </w:r>
    </w:p>
    <w:p>
      <w:pPr>
        <w:pStyle w:val="Normal"/>
        <w:spacing w:before="0" w:after="400"/>
        <w:jc w:val="center"/>
        <w:rPr/>
      </w:pPr>
      <w:r>
        <w:rPr/>
        <w:t>arindam@arinbasu.online | +64 22 629 0356</w:t>
        <w:br/>
        <w:t>Sheffield, Canterbury, New Zealand | LinkedIn: arindam-bose-97288a35</w:t>
        <w:br/>
      </w:r>
    </w:p>
    <w:p>
      <w:pPr>
        <w:pStyle w:val="Normal"/>
        <w:spacing w:before="240" w:after="120"/>
        <w:jc w:val="left"/>
        <w:rPr/>
      </w:pPr>
      <w:r>
        <w:rPr>
          <w:b/>
          <w:color w:val="2C3E50"/>
          <w:sz w:val="24"/>
        </w:rPr>
        <w:t>PROFESSIONAL OVERVIEW</w:t>
      </w:r>
    </w:p>
    <w:p>
      <w:pPr>
        <w:pStyle w:val="BodyText"/>
        <w:spacing w:before="0" w:after="200"/>
        <w:ind w:hanging="0" w:left="0" w:right="0"/>
        <w:rPr/>
      </w:pPr>
      <w:r>
        <w:rPr>
          <w:rFonts w:ascii="Calibri" w:hAnsi="Calibri"/>
          <w:color w:val="000000"/>
          <w:sz w:val="22"/>
        </w:rPr>
        <w:t>I am a medical doctor and epidemiologist with skills of using machine learning and artificial intelligence for precision public health, epidemiological modelling, and design of digital twins. My aim is integrating medicine and public health through advanced data science, machine learning, and artificial intelligence.</w:t>
      </w:r>
    </w:p>
    <w:p>
      <w:pPr>
        <w:pStyle w:val="Normal"/>
        <w:spacing w:before="240" w:after="120"/>
        <w:jc w:val="left"/>
        <w:rPr/>
      </w:pPr>
      <w:r>
        <w:rPr>
          <w:b/>
          <w:color w:val="2C3E50"/>
          <w:sz w:val="24"/>
        </w:rPr>
        <w:t>TECHNICAL EXPERTISE</w:t>
      </w:r>
    </w:p>
    <w:p>
      <w:pPr>
        <w:pStyle w:val="ListBullet"/>
        <w:numPr>
          <w:ilvl w:val="0"/>
          <w:numId w:val="1"/>
        </w:numPr>
        <w:rPr/>
      </w:pPr>
      <w:r>
        <w:rPr>
          <w:b/>
        </w:rPr>
        <w:t xml:space="preserve">Data Science: </w:t>
      </w:r>
      <w:r>
        <w:rPr/>
        <w:t>R, Python, Julia, Stata, SPSS, MySQL/SQLITE</w:t>
      </w:r>
    </w:p>
    <w:p>
      <w:pPr>
        <w:pStyle w:val="ListBullet"/>
        <w:numPr>
          <w:ilvl w:val="0"/>
          <w:numId w:val="1"/>
        </w:numPr>
        <w:rPr/>
      </w:pPr>
      <w:r>
        <w:rPr>
          <w:b/>
        </w:rPr>
        <w:t xml:space="preserve">AI/ML: </w:t>
      </w:r>
      <w:r>
        <w:rPr/>
        <w:t>Keras, Pytorch, Tensorflow, Flux, Lux</w:t>
      </w:r>
    </w:p>
    <w:p>
      <w:pPr>
        <w:pStyle w:val="ListBullet"/>
        <w:numPr>
          <w:ilvl w:val="0"/>
          <w:numId w:val="1"/>
        </w:numPr>
        <w:rPr/>
      </w:pPr>
      <w:r>
        <w:rPr>
          <w:b/>
        </w:rPr>
        <w:t xml:space="preserve">Methods: </w:t>
      </w:r>
      <w:r>
        <w:rPr/>
        <w:t>Epidemic Investigation, RCT Analysis, Meta-Analysis, Structural Equation Modelling</w:t>
      </w:r>
    </w:p>
    <w:p>
      <w:pPr>
        <w:pStyle w:val="ListBullet"/>
        <w:numPr>
          <w:ilvl w:val="0"/>
          <w:numId w:val="1"/>
        </w:numPr>
        <w:rPr/>
      </w:pPr>
      <w:r>
        <w:rPr>
          <w:b/>
        </w:rPr>
        <w:t xml:space="preserve">Instruction: </w:t>
      </w:r>
      <w:r>
        <w:rPr/>
        <w:t>Certified Carpentries Instructor and Trainer</w:t>
      </w:r>
    </w:p>
    <w:p>
      <w:pPr>
        <w:pStyle w:val="Normal"/>
        <w:spacing w:before="240" w:after="120"/>
        <w:jc w:val="left"/>
        <w:rPr/>
      </w:pPr>
      <w:r>
        <w:rPr>
          <w:b/>
          <w:color w:val="2C3E50"/>
          <w:sz w:val="24"/>
        </w:rPr>
        <w:t>PROFESSIONAL EXPERIENCE</w:t>
      </w:r>
    </w:p>
    <w:p>
      <w:pPr>
        <w:pStyle w:val="Normal"/>
        <w:rPr/>
      </w:pPr>
      <w:r>
        <w:rPr>
          <w:b/>
        </w:rPr>
        <w:t>Associate Professor, School of Health Sciences</w:t>
      </w:r>
      <w:r>
        <w:rPr/>
        <w:br/>
        <w:t>University of Canterbury, New Zealand | 2020 – 2026</w:t>
      </w:r>
    </w:p>
    <w:p>
      <w:pPr>
        <w:pStyle w:val="Normal"/>
        <w:rPr/>
      </w:pPr>
      <w:r>
        <w:rPr>
          <w:b/>
        </w:rPr>
        <w:t>Senior Lecturer</w:t>
      </w:r>
      <w:r>
        <w:rPr/>
        <w:br/>
        <w:t>University of Canterbury, New Zealand | 2007 – 2019</w:t>
      </w:r>
    </w:p>
    <w:p>
      <w:pPr>
        <w:pStyle w:val="Normal"/>
        <w:spacing w:before="240" w:after="120"/>
        <w:jc w:val="left"/>
        <w:rPr/>
      </w:pPr>
      <w:r>
        <w:rPr>
          <w:b/>
          <w:color w:val="2C3E50"/>
          <w:sz w:val="24"/>
        </w:rPr>
        <w:t>EDUCATION</w:t>
      </w:r>
    </w:p>
    <w:p>
      <w:pPr>
        <w:pStyle w:val="Normal"/>
        <w:rPr/>
      </w:pPr>
      <w:r>
        <w:rPr>
          <w:b/>
        </w:rPr>
        <w:t>PhD in Public Health Sciences</w:t>
      </w:r>
      <w:r>
        <w:rPr/>
        <w:t xml:space="preserve"> | St. Louis University, USA | 2012</w:t>
      </w:r>
    </w:p>
    <w:p>
      <w:pPr>
        <w:pStyle w:val="Normal"/>
        <w:rPr/>
      </w:pPr>
      <w:r>
        <w:rPr>
          <w:b/>
        </w:rPr>
        <w:t>Master of Public Health (MPH)</w:t>
      </w:r>
      <w:r>
        <w:rPr/>
        <w:t xml:space="preserve"> | East Stroudsburg University, USA | 1997</w:t>
      </w:r>
    </w:p>
    <w:p>
      <w:pPr>
        <w:pStyle w:val="Normal"/>
        <w:rPr/>
      </w:pPr>
      <w:r>
        <w:rPr>
          <w:b/>
        </w:rPr>
        <w:t>Bachelor of Medicine and Surgery (MBBS)</w:t>
      </w:r>
      <w:r>
        <w:rPr/>
        <w:t xml:space="preserve"> | University of Calcutta, India | 1992</w:t>
      </w:r>
    </w:p>
    <w:p>
      <w:pPr>
        <w:pStyle w:val="Normal"/>
        <w:spacing w:before="240" w:after="120"/>
        <w:jc w:val="left"/>
        <w:rPr/>
      </w:pPr>
      <w:r>
        <w:rPr>
          <w:b/>
          <w:color w:val="2C3E50"/>
          <w:sz w:val="24"/>
        </w:rPr>
        <w:t>GRANTS &amp; FUNDING</w:t>
      </w:r>
    </w:p>
    <w:p>
      <w:pPr>
        <w:pStyle w:val="ListBullet"/>
        <w:numPr>
          <w:ilvl w:val="0"/>
          <w:numId w:val="1"/>
        </w:numPr>
        <w:rPr/>
      </w:pPr>
      <w:r>
        <w:rPr/>
        <w:t>PI, Health Research Council (HRC): Human Digital Twins for reversing Type II Diabetes ($150k, 2024-2026)</w:t>
      </w:r>
    </w:p>
    <w:p>
      <w:pPr>
        <w:pStyle w:val="ListBullet"/>
        <w:numPr>
          <w:ilvl w:val="0"/>
          <w:numId w:val="1"/>
        </w:numPr>
        <w:rPr/>
      </w:pPr>
      <w:r>
        <w:rPr/>
        <w:t>Named Investigator, Cure Kids: Collisions in junior rugby ($124.9k, 2024-2025)</w:t>
      </w:r>
    </w:p>
    <w:p>
      <w:pPr>
        <w:pStyle w:val="ListBullet"/>
        <w:numPr>
          <w:ilvl w:val="0"/>
          <w:numId w:val="1"/>
        </w:numPr>
        <w:rPr/>
      </w:pPr>
      <w:r>
        <w:rPr/>
        <w:t>Named Investigator, HRC: Enrichment of community health ($588.5k, 2019-2022)</w:t>
      </w:r>
    </w:p>
    <w:p>
      <w:pPr>
        <w:pStyle w:val="Normal"/>
        <w:spacing w:before="240" w:after="120"/>
        <w:jc w:val="left"/>
        <w:rPr>
          <w:b/>
          <w:color w:val="2C3E50"/>
          <w:sz w:val="24"/>
        </w:rPr>
      </w:pPr>
      <w:r>
        <w:rPr>
          <w:b/>
          <w:color w:val="2C3E50"/>
          <w:sz w:val="24"/>
        </w:rPr>
      </w:r>
    </w:p>
    <w:p>
      <w:pPr>
        <w:pStyle w:val="Normal"/>
        <w:spacing w:before="240" w:after="120"/>
        <w:jc w:val="left"/>
        <w:rPr>
          <w:b/>
          <w:color w:val="2C3E50"/>
          <w:sz w:val="24"/>
        </w:rPr>
      </w:pPr>
      <w:r>
        <w:rPr>
          <w:b/>
          <w:color w:val="2C3E50"/>
          <w:sz w:val="24"/>
        </w:rPr>
      </w:r>
    </w:p>
    <w:p>
      <w:pPr>
        <w:pStyle w:val="Normal"/>
        <w:spacing w:before="240" w:after="120"/>
        <w:jc w:val="left"/>
        <w:rPr/>
      </w:pPr>
      <w:r>
        <w:rPr>
          <w:b/>
          <w:color w:val="2C3E50"/>
          <w:sz w:val="24"/>
        </w:rPr>
        <w:t xml:space="preserve">SELECTED </w:t>
      </w:r>
      <w:r>
        <w:rPr>
          <w:b/>
          <w:color w:val="2C3E50"/>
          <w:sz w:val="24"/>
        </w:rPr>
        <w:t>RECENT</w:t>
      </w:r>
      <w:r>
        <w:rPr>
          <w:b/>
          <w:color w:val="2C3E50"/>
          <w:sz w:val="24"/>
        </w:rPr>
        <w:t xml:space="preserve"> PUBLICATIONS (2019-2025)</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Hoermann, S., Temtsin, S., Hurren, B., Zawar-Reza, P., &amp;</w:t>
      </w:r>
      <w:r>
        <w:rPr>
          <w:rFonts w:eastAsia="Roboto" w:cs="Roboto" w:ascii="Roboto" w:hAnsi="Roboto"/>
          <w:b/>
          <w:bCs/>
          <w:color w:val="1F1F1F"/>
          <w:sz w:val="24"/>
          <w:szCs w:val="24"/>
          <w:highlight w:val="white"/>
        </w:rPr>
        <w:t xml:space="preserve"> Basu, A</w:t>
      </w:r>
      <w:r>
        <w:rPr>
          <w:rFonts w:eastAsia="Roboto" w:cs="Roboto" w:ascii="Roboto" w:hAnsi="Roboto"/>
          <w:color w:val="1F1F1F"/>
          <w:sz w:val="24"/>
          <w:szCs w:val="24"/>
          <w:highlight w:val="white"/>
        </w:rPr>
        <w:t>. (2025). An AI supported T2DM Management System. In Health Research Society of Canterbury, Poster Expo 2025. Christchurch.</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Lau, E. C. H., Rajput, V. K., Hunter, I., Florez-Arango, J. F., Ranatunga, P., Veil, K. D., . . . </w:t>
      </w:r>
      <w:r>
        <w:rPr>
          <w:rFonts w:eastAsia="Roboto" w:cs="Roboto" w:ascii="Roboto" w:hAnsi="Roboto"/>
          <w:b/>
          <w:bCs/>
          <w:color w:val="1F1F1F"/>
          <w:sz w:val="24"/>
          <w:szCs w:val="24"/>
          <w:highlight w:val="white"/>
        </w:rPr>
        <w:t xml:space="preserve">Basu, A. </w:t>
      </w:r>
      <w:r>
        <w:rPr>
          <w:rFonts w:eastAsia="Roboto" w:cs="Roboto" w:ascii="Roboto" w:hAnsi="Roboto"/>
          <w:color w:val="1F1F1F"/>
          <w:sz w:val="24"/>
          <w:szCs w:val="24"/>
          <w:highlight w:val="white"/>
        </w:rPr>
        <w:t>(2025). Telehealth and Precision Prevention: Bridging the Gap for Individualised Health Strategies. Yearbook of Medical Informatics, 33(1), 64-69. doi:10.1055/s-0044-1800720</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Crichton-Hill, Y.,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Ravono, A., &amp; Vakamacawai, E. (2024). Chapter 11. COVID-19, Community Health and Mitigating Climate Crisis: Climate Crisis, Adaptation and Resilience. Pacific Ocean and Climate Crisis Assessment Report. Volume 1. Christchurch: MacMillan Brown Centre for Pacific Studies Press University of Canterbury.</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Mangan, K., Henley, S., Spriggs, N., Kabaliuk, N., Stitt, D., Swale, A., …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xml:space="preserve"> .. . . Draper, N. (2024). Collisions in junior rugby: Incidence, magnitude and the potential of headgear to reduce impact accelerations. In Sport and Exercise Science New Zealand (SESNZ) 2024. Dunedin, New Zealand.</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Inthiran, A., Honey, M.,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(2024). Consumers Seeking Health Information: Preliminary Results of User Impressions of an Online Health Website. In The 35th Australasian Conference in Information Systems (ACIS 2024). Canberra Australia.</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Henley, Stefan, Spriggs, Nicole, Kabaliuk, Natalia … (other authors), … </w:t>
      </w:r>
      <w:r>
        <w:rPr>
          <w:rFonts w:eastAsia="Roboto" w:cs="Roboto" w:ascii="Roboto" w:hAnsi="Roboto"/>
          <w:b/>
          <w:bCs/>
          <w:color w:val="1F1F1F"/>
          <w:sz w:val="24"/>
          <w:szCs w:val="24"/>
          <w:highlight w:val="white"/>
        </w:rPr>
        <w:t>Basu, Arindam</w:t>
      </w:r>
      <w:r>
        <w:rPr>
          <w:rFonts w:eastAsia="Roboto" w:cs="Roboto" w:ascii="Roboto" w:hAnsi="Roboto"/>
          <w:color w:val="1F1F1F"/>
          <w:sz w:val="24"/>
          <w:szCs w:val="24"/>
          <w:highlight w:val="white"/>
        </w:rPr>
        <w:t>, … (others) ... Draper, Nick, Effects of One Season of Rugby on the Neurological Integrity of Adolescent Players. Available at SSRN: https://ssrn.com/abstract=4927748</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(2024). Human Digital Twins and Machine Learning Applications in Precision Medicine and Surgery: Current State and Future Directions. In S. P. Stawicki (Ed.), Artificial Intelligence in Medicine and Surgery - An Exploration of Current Trends, Potential Opportunities, and Evolving Threats - Volume 2 (Vol. 2). doi:10.5772/intechopen.115000</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Ndwabe, H.,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&amp; Mohammed, J. (2024). Post pandemic analysis on comprehensive utilization of telehealth and telemedicine. Clinical Ehealth, 7, 5-14. doi:10.1016/j.ceh.2023.12.002</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Rajput, V. K., Ito, M., Ranatunga, P., Kuziemsky, C., Kulatunga, G., . . . Iyengar, S. (2023). Telehealth as a Component of One Health: a Position Paper. Yearbook of Medical Informatics, 32(1), 19-26. doi:10.1055/s-0043-1768728</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Rahman, M. H. A., Finsterwalder, J., Ranabahu, N.,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(2023). Well-being of Trans and Gender Non-Conforming People in Service Business Start-ups in Bangladesh: A Literature Review. In 25th New Zealand Asian Studies Society (NZASIA) Conference. Christchurch, New Zealand.</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Fasoro, A., Maddocks, W., Barnett, P.,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(2023). Trajectories of Successful Aging Among Older Adults in Aotearoa New Zealand. Journal of Applied Gerontology, 42(8), 1781-1790. doi:10.1177/07334648231163052</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Kuziemsky, C., Hunter, I., Udayasankaran, J. G., Ranatunga, P., Kulatunga, G., John, S., . . .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(2022). Telehealth as a Means of Enabling Health Equity. Yearbook of Medical Informatics, 31(1), 60-66. doi:10.1055/s-0042-1742500</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Alkhaldy, I.,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(2022). A cross-tabulated analysis for the influence of climate conditions on the incidence of dengue fever in Jeddah City, Saudi Arabia during 2006–2009. International Journal of Health Sciences, 16(6).</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Halberstadt, J.,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Hughes, B., Hughes, R., Johnston, M., Kierstead, J., &amp; Rozado, D. (2022). Perceived Freedom of Expression at New Zealand Universities. Social Sciences, 11(11). doi:10.3390/socsci11110502</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Inthiran, A., Honey, M.,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(2022). Current Online Health Information Searching Practices of New Zealanders: Preliminary Results from a Pilot Study. In Australasian Conference on Information Systems 2022 (ACIS). Melbourne Australia.</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Taylor, M. R., Carrasco, K., Carrasco, A.,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(2022). Tobacco and ADHD: A Role of MAO-Inhibition in Nicotine Dependence and Alleviation of ADHD Symptoms. Frontiers in Neuroscience, 16. doi:10.3389/fnins.2022.845646</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Walter, S., Petersen, C.,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xml:space="preserve"> (2022). Quantifying injuries among New Zealand cricket fast bowlers: A 12-month retrospective injury surveillance. New Zealand Journal of Sports Medicine, 48(2), 46-51. Retrieved from https://sportsmedicine.co.nz/</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xml:space="preserve"> (2022). Social Protection and SocialDeterminants of Health in COVID-19 and Related Disasters: What CanWe Do About Them?. In Covid 19 and Social Protection A Study in Human Resilience and Social Solidarity (pp. 23-38). doi:10.1007/978-981-16-2948-8_2</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O’brien, W. J., Badenhorst, C. E., Draper, N.,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Elliot, C. A., Hamlin, M. J., . . . Faulkner, J. (2021). Physical activity, mental health and wellbeing during the first covid-19 containment in new zealand: A cross-sectional study. International Journal of Environmental Research and Public Health, 18(22). doi:10.3390/ijerph182212036</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(2021). Response to: COVID-19: what comes after elimination?. New Zealand Medical Journal, 134(1544), 183-184.</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Walter, S., Petersen, C.,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(2021). Are there any differences in the shoulder muscle strength and range of motion between cricket fast bowlers with and without shoulder pain?. New Zealand Journal of Sports Medicine, 48(1), 17-23. Retrieved from https://sportsmedicine.co.nz/</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Kuziemsky, C., de Araújo Novaes, M., Kleber, A., Sales, F., Al-Shorbaji, N., . . . Udayasankaran, J. G. (2021). Telehealth and the COVID-19 Pandemic: International Perspectives and a Health Systems Framework for Telehealth Implementation to Support Critical Response. Yearbook of Medical Informatics, 30(1), 126-133. doi:10.1055/s-0041-1726484</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Sheehan, D., Lee, A.,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&amp; Thwaites, J. (2021). Improving the prescribing practice of junior doctors through interprofessional collaboration and evidence-based education. New Zealand Medical Journal, 134(1536), 12-24.</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Ratuva, S., Crichton-Hill, Y., Ross, T.,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Martin-Neuninger, R., &amp; Vakaoti, P. (2021). Integrated social protection and COVID-19: Rethinking Pacific community responses in Aotearoa. Journal of the Royal Society of New Zealand. doi:10.1080/03036758.2020.1861033</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Ratuva, S., Crichton-Hill, Y., Ross, T., Vakaoti, P.,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(2021). Social protection and COVID-19: A comparative study of resilience and social solidarity. Y. Crichron-Hill, T. Ross, P. Vakaoti, &amp; A. Basu (Eds.), Singapore: Palgrave-Springer. doi:10.1007/978-981-16-2948-8</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Ratuva, S., Ross, T., Crichton-Hill, Y.,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&amp; Vakaoti, P. (2021). COVID-19 and Social Protection. A study in human resilience and social solidarity (https://link.springer.com/book/10.1007/978-981-16-2948-8 ed.). S. Ratuva, T. Ross, Y. Crichton-Hill, A. Basu, &amp; P. Vakaoti (Eds.), Singapore: Palgrave Macmillan. doi:10.1007/978-981-16-2948-8</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Ratuva, S., Ross, T., Crichton-Hill, Y.,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Vakaoti, P., &amp; Martin, R. (2021). COVID-19 and social protection: A study in human resilience and social solidarity. S. Ratuva, T. Ross, Y. Chrichton-Hill, A. Basu, P. Vakaoti, &amp; R. Martin (Eds.), Palgrave Publishers.</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Kirk, R., O'steen, B., Meeks, M., Seaton, P., Sheehan, D., &amp; Sutherland, D. (2020). Building an Interprofessional (IP) research team through careful consideration of an IP Research methodology. In INTERPROFESSIONAL EDUCATION AND PRACTICE SHOWCASE 2020. Te Papa Hauora, Christchurch.</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Walter, S., Petersen, C.,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(2020). International cricket injury surveillance: A media-based injury report on the ICC men's Cricket World Cup 2015. The Journal of Sport and Exercise Science, 4(2). doi:10.36905/jses.2020.02.03</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Kuziemsky, C. E., Hunter, I., Gogia, S. B., Iyenger, S., Kulatunga, G., Rajput, V., . . .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(2020). Ethics in Telehealth: Comparison between Guidelines and Practice-based Experience – the Case for Learning Health Systems. Yearbook of Medical Informatics, 29(1), 44-50. doi:10.1055/s-0040-1701976</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Sutherland, D.,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Campbell, M., Berka, M., Baker, M., &amp; Shaw, R. (2020). Delight, relief and caution: six experts on New Zealand’s move to ease its coronavirus lockdown. New Zealand: Conversation. Retrieved from https://theconversation.com/</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(2020). Platforms for collaborative process. In S. Gogia (Ed.), Fundamentals of telemedicine and telehealth (pp. 93-113). Elsevier. doi:10.1016/B978-0-12-814309-4.00005-7</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de Araújo Novaes, M.,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(2019). Disruptive technologies: Present and future. In Fundamentals of Telemedicine and Telehealth (pp. 305-330). doi:10.1016/B978-0-12-814309-4.00014-8</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Smith, H., Taylor, M.,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&amp; Miles, B. (2019). LITERATURE REVIEW Effective Interventions for Home-Based Injuries.</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Kuziemsky, C., Maeder, A. J., John, O., Gogia, S. B.,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Meher, S., &amp; Ito, M. (2019). Role of Artificial Intelligence within the Telehealth Domain Official 2019 Yearbook Contribution by the members of IMIA Telehealth Working Group. Yearbook of Medical Informatics, 28(1), 35-40. doi:10.1055/s-0039-1677897</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Walter, S., Petersen, C., &amp;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(2019). Effect of a 6-week Indian clubbell strength programme on fast bowlers’ shoulders. In World Congress of Science and Medicine in Cricket. Loughborough: Loughborough University.</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(2019). Workshop - Structural Equation Modeling in R. In IASSIST 2019. Brisbane.</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Owusu, M. F.,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&amp; Barnett, P. (2019). Hypertension and diabetes management: a policy perspective from Ghana. Journal of Health Organization and Management, 33(1), 35-50. doi:10.1108/JHOM-03-2018-0076</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color w:val="1F1F1F"/>
          <w:sz w:val="24"/>
          <w:szCs w:val="24"/>
          <w:highlight w:val="white"/>
        </w:rPr>
        <w:t xml:space="preserve">Halim, A., </w:t>
      </w: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&amp; Kirk, R. C. (2019). The Prevalence of Body Mass Index–Associated Chronic Diseases in Diverse Ethnic Groups in New Zealand. Asia Pacific Journal of Public Health, 31(1), 84-91. doi:10.1177/1010539518822438</w:t>
      </w:r>
    </w:p>
    <w:p>
      <w:pPr>
        <w:pStyle w:val="normal1"/>
        <w:numPr>
          <w:ilvl w:val="0"/>
          <w:numId w:val="1"/>
        </w:numPr>
        <w:spacing w:lineRule="auto" w:line="240"/>
        <w:ind w:hanging="360" w:left="720"/>
        <w:rPr>
          <w:rFonts w:ascii="Roboto" w:hAnsi="Roboto" w:eastAsia="Roboto" w:cs="Roboto"/>
          <w:color w:val="1F1F1F"/>
          <w:sz w:val="24"/>
          <w:szCs w:val="24"/>
          <w:highlight w:val="white"/>
          <w:u w:val="none"/>
        </w:rPr>
      </w:pPr>
      <w:r>
        <w:rPr>
          <w:rFonts w:eastAsia="Roboto" w:cs="Roboto" w:ascii="Roboto" w:hAnsi="Roboto"/>
          <w:b/>
          <w:bCs/>
          <w:color w:val="1F1F1F"/>
          <w:sz w:val="24"/>
          <w:szCs w:val="24"/>
          <w:highlight w:val="white"/>
        </w:rPr>
        <w:t>Basu, A</w:t>
      </w:r>
      <w:r>
        <w:rPr>
          <w:rFonts w:eastAsia="Roboto" w:cs="Roboto" w:ascii="Roboto" w:hAnsi="Roboto"/>
          <w:color w:val="1F1F1F"/>
          <w:sz w:val="24"/>
          <w:szCs w:val="24"/>
          <w:highlight w:val="white"/>
        </w:rPr>
        <w:t>. (2019). An Introduction to Meta-Analysis. In A Guide to the Scientific Career Virtues Communication Research and Academic Writing (pp. 615-638). doi:10.1002/9781118907283.ch68</w:t>
      </w:r>
    </w:p>
    <w:p>
      <w:pPr>
        <w:pStyle w:val="normal1"/>
        <w:numPr>
          <w:ilvl w:val="0"/>
          <w:numId w:val="0"/>
        </w:numPr>
        <w:spacing w:lineRule="auto" w:line="240"/>
        <w:ind w:hanging="0" w:left="720"/>
        <w:rPr>
          <w:rFonts w:ascii="Roboto" w:hAnsi="Roboto" w:eastAsia="Roboto" w:cs="Roboto"/>
          <w:color w:val="1F1F1F"/>
          <w:sz w:val="24"/>
          <w:szCs w:val="24"/>
          <w:highlight w:val="white"/>
          <w:u w:val="none"/>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swiss"/>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Roboto">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62"/>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Arial" w:hAnsi="Arial" w:eastAsia="" w:cs="" w:cstheme="minorBidi" w:eastAsiaTheme="minorEastAsia"/>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Noto Sans CJK SC" w:cs="Lohit Marathi"/>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ohit Marath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paragraph" w:styleId="normal1">
    <w:name w:val="normal1"/>
    <w:qFormat/>
    <w:pPr>
      <w:widowControl/>
      <w:suppressAutoHyphens w:val="true"/>
      <w:bidi w:val="0"/>
      <w:spacing w:lineRule="auto" w:line="276"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LibreOffice/25.2.5.2$Linux_X86_64 LibreOffice_project/520$Build-2</Application>
  <AppVersion>15.0000</AppVersion>
  <Pages>5</Pages>
  <Words>1604</Words>
  <Characters>9808</Characters>
  <CharactersWithSpaces>11306</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2026-02-17T17:57:46Z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